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Оферта на возмездное оказание услуг</w:t>
      </w:r>
    </w:p>
    <w:p>
      <w:pPr>
        <w:pStyle w:val="Normal.0"/>
        <w:spacing w:after="1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25 </w:t>
      </w:r>
      <w:r>
        <w:rPr>
          <w:b w:val="1"/>
          <w:bCs w:val="1"/>
          <w:rtl w:val="0"/>
          <w:lang w:val="ru-RU"/>
        </w:rPr>
        <w:t xml:space="preserve">января </w:t>
      </w:r>
      <w:r>
        <w:rPr>
          <w:b w:val="1"/>
          <w:bCs w:val="1"/>
          <w:rtl w:val="0"/>
          <w:lang w:val="ru-RU"/>
        </w:rPr>
        <w:t xml:space="preserve">2018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spacing w:after="120"/>
        <w:rPr>
          <w:b w:val="1"/>
          <w:bCs w:val="1"/>
        </w:rPr>
      </w:pPr>
    </w:p>
    <w:p>
      <w:pPr>
        <w:pStyle w:val="Normal.0"/>
        <w:spacing w:after="120"/>
      </w:pPr>
      <w:r>
        <w:rPr>
          <w:b w:val="1"/>
          <w:bCs w:val="1"/>
          <w:rtl w:val="0"/>
          <w:lang w:val="ru-RU"/>
        </w:rPr>
        <w:t>ООО «Дизайн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именуемое в дальнейшем «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en-US"/>
        </w:rPr>
        <w:t> </w:t>
      </w:r>
      <w:r>
        <w:rPr>
          <w:rtl w:val="0"/>
          <w:lang w:val="ru-RU"/>
        </w:rPr>
        <w:t>лице Генерального директора Горбунова Артёма Сергеевича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выражает намерение заключить Договор возмездного оказания услуг на указанных в настоящей оферте условиях с любым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далее именуемым «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которым приняты условия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Услуги</w:t>
      </w:r>
      <w:r>
        <w:rPr>
          <w:rtl w:val="0"/>
          <w:lang w:val="ru-RU"/>
        </w:rPr>
        <w:t xml:space="preserve"> –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оказываемые Исполнителем Заказчику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описание которых приводится в разделе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приложениях 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Договор</w:t>
      </w:r>
      <w:r>
        <w:rPr>
          <w:rtl w:val="0"/>
          <w:lang w:val="ru-RU"/>
        </w:rPr>
        <w:t xml:space="preserve"> – Договор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заключаемый между Заказчиком и Исполнителем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Сайт</w:t>
      </w:r>
      <w:r>
        <w:rPr>
          <w:rtl w:val="0"/>
          <w:lang w:val="ru-RU"/>
        </w:rPr>
        <w:t xml:space="preserve"> – сайт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расположенный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"https://bureau.ru/"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bureau.ru</w:t>
      </w:r>
      <w:r>
        <w:rPr/>
        <w:fldChar w:fldCharType="end" w:fldLock="0"/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Исполнитель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ООО «Дизайн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бюро Артема Горбунова»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оказывающее Заказчику Услуги на указанных в настоящей Оферте условиях в случае акцепта Оферты Заказчиком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Заказчик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физическое лицо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заключившее с Исполнителем Договор путем акцепта настоящей Оферты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</w:pPr>
      <w:r>
        <w:rPr>
          <w:i w:val="1"/>
          <w:iCs w:val="1"/>
          <w:rtl w:val="0"/>
          <w:lang w:val="ru-RU"/>
        </w:rPr>
        <w:t>Оферта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настоящий документ и приложения к нему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являются предложением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определяющим все существенные условия договора возмездного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которые выражают намерение Исполнителя считать себя заключившим такой договор с Заказчиком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обязуется оказать Заказчику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 оказание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предметом 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обязуется оплатить услуги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Акцепт настоящей Оферты производится Заказчиком путем оплаты Услуг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Офертой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С момента оплаты услуг Исполнителя настоящая Оферта признается акцептованной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Договор считается заключённым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Приложением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может быть предусмотрено также иное действие Исполнителя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свидетельствующее об акцепте 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Срок для акцепта настоящей Оферты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Оферта может быть отозвана Исполнителем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Настоящая оферта вступает в силу с момента её размещения на </w:t>
      </w:r>
      <w:r>
        <w:rPr>
          <w:rtl w:val="0"/>
          <w:lang w:val="ru-RU"/>
        </w:rPr>
        <w:t>C</w:t>
      </w:r>
      <w:r>
        <w:rPr>
          <w:rtl w:val="0"/>
          <w:lang w:val="ru-RU"/>
        </w:rPr>
        <w:t>айте и действует до момента её отзыва Исполнителем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В случае внесения Исполнителем изменений в Оферту такие изменения вступают в силу с момента размещения новой редакции Оферты на </w:t>
      </w:r>
      <w:r>
        <w:rPr>
          <w:rtl w:val="0"/>
          <w:lang w:val="ru-RU"/>
        </w:rPr>
        <w:t>C</w:t>
      </w:r>
      <w:r>
        <w:rPr>
          <w:rtl w:val="0"/>
          <w:lang w:val="ru-RU"/>
        </w:rPr>
        <w:t>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вправе привлекать третьих лиц для исполнения своих обязательств по оказанию Услуг по Договору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вправе изменить настоящую Оферту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это предусмотрено в пункте </w:t>
      </w:r>
      <w:r>
        <w:rPr>
          <w:rtl w:val="0"/>
          <w:lang w:val="ru-RU"/>
        </w:rPr>
        <w:t xml:space="preserve">3.6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могут быть предусмотрены дополнительные права и обязанности Исполнителя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Заказчика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Заказчик вправе получить Услуги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указанные в настоящей Оферте и приложениях к 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Заказчик обязан оплатить услуги Исполнителя в размере и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 могут быть предусмотрены дополнительные права и обязанности Заказчика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Услуги оказываются Исполнителем только после полной оплаты их стоимости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если иное не предусмотрено Приложением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Стоимость Услуг 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Стоимость услуг Исполнителя не облагается НДС в связи с применением Исполнителем упрощенной системы налогообложения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Срок оплаты Услуг 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Оплата может производиться следующими способами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через сервис приёма платежей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расположенный на Сайте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через сервис приёма платежей партнёрской платёжной системы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на Сайте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форма которого расположена на Сайте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Приложением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 или на Сайте могут быть предусмотрены дополнительные способы оплаты Услуг или предусмотрено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оплата возможно только определенным способом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Датой оплаты услуг Исполнителя является дата поступления денежных средств на расчётный счет Исполнителя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Порядок сдачи и приёмки услуг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Порядок сдачи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приёмки Услуг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Интеллектуальная собственность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Все права на охраняемые результаты интеллектуальной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используемые Исполнителем в ходе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указанных в настоящей Оферте и приложениях к 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являются и будут оставаться исключительной собственностью Исполнителя либо принадлежать ему на основании </w:t>
      </w:r>
      <w:r>
        <w:rPr>
          <w:rtl w:val="0"/>
          <w:lang w:val="ru-RU"/>
        </w:rPr>
        <w:t>лицензионных</w:t>
      </w:r>
      <w:r>
        <w:rPr>
          <w:rtl w:val="0"/>
          <w:lang w:val="ru-RU"/>
        </w:rPr>
        <w:t xml:space="preserve"> или иных соглашений о передаче прав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120"/>
        <w:ind w:right="0"/>
        <w:jc w:val="left"/>
        <w:rPr>
          <w:rtl w:val="0"/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разрешает Исполнителю использовать созданные им при исполнении Договора материалы и результаты занятий в информационных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полемических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рекламных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коммерческих и маркетинговых целях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указанием или без указания имени автора и без выплаты авторского вознаграждения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правом изменения и переработки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2"/>
        </w:numPr>
        <w:spacing w:before="240" w:after="120"/>
        <w:rPr>
          <w:lang w:val="ru-RU"/>
        </w:rPr>
      </w:pPr>
      <w:r>
        <w:rPr>
          <w:rtl w:val="0"/>
          <w:lang w:val="ru-RU"/>
        </w:rPr>
        <w:t>Договор вступает в силу с момента его заключения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предусмотренном разделом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действует до полного исполнения Сторонами своих обязанностей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Основания и порядок досрочного расторжения Договора указан в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Разрешение споров и заключительные положения</w:t>
      </w:r>
    </w:p>
    <w:p>
      <w:pPr>
        <w:pStyle w:val="List Paragraph"/>
        <w:numPr>
          <w:ilvl w:val="1"/>
          <w:numId w:val="2"/>
        </w:numPr>
        <w:spacing w:before="240" w:after="120"/>
        <w:rPr>
          <w:lang w:val="ru-RU"/>
        </w:rPr>
      </w:pPr>
      <w:r>
        <w:rPr>
          <w:rtl w:val="0"/>
          <w:lang w:val="ru-RU"/>
        </w:rPr>
        <w:t>Все споры 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возникнуть между Сторонами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будут разрешаться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порядке претензионного досудебного урегулирования спора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В случае невозможности разрешить споры и разногласия в досудебном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разрешают спор в суде по месту нахождения Исполнителя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В отношениях по поводу Оферты и Договора 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pacing w:after="120"/>
        <w:rPr>
          <w:lang w:val="ru-RU"/>
        </w:rPr>
      </w:pPr>
      <w:r>
        <w:rPr>
          <w:rtl w:val="0"/>
          <w:lang w:val="ru-RU"/>
        </w:rPr>
        <w:t>Приложения к настоящей Оферте дополняют Оферту и являются её неотъемлемой частью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Реквизиты и подпись Исполнителя</w:t>
      </w:r>
    </w:p>
    <w:p>
      <w:pPr>
        <w:pStyle w:val="Normal.0"/>
        <w:spacing w:after="40"/>
        <w:ind w:left="360" w:firstLine="0"/>
      </w:pPr>
      <w:r>
        <w:rPr>
          <w:rtl w:val="0"/>
          <w:lang w:val="ru-RU"/>
        </w:rPr>
        <w:t>ООО «Дизайн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бюро Артема Горбунова»</w:t>
      </w:r>
    </w:p>
    <w:p>
      <w:pPr>
        <w:pStyle w:val="Normal.0"/>
        <w:spacing w:after="40"/>
        <w:ind w:left="360" w:firstLine="0"/>
        <w:rPr>
          <w:outline w:val="0"/>
          <w:color w:val="1a1a1a"/>
          <w:u w:color="1a1a1a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127015,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ул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Б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Новодмитровская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д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36,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стр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. 2</w:t>
      </w:r>
    </w:p>
    <w:p>
      <w:pPr>
        <w:pStyle w:val="Normal.0"/>
        <w:spacing w:after="40"/>
        <w:ind w:left="360" w:firstLine="0"/>
      </w:pPr>
      <w:r>
        <w:rPr>
          <w:rtl w:val="0"/>
          <w:lang w:val="ru-RU"/>
        </w:rPr>
        <w:t xml:space="preserve">ИНН </w:t>
      </w:r>
      <w:r>
        <w:rPr>
          <w:rtl w:val="0"/>
          <w:lang w:val="ru-RU"/>
        </w:rPr>
        <w:t xml:space="preserve">7728609898, </w:t>
      </w:r>
      <w:r>
        <w:rPr>
          <w:rtl w:val="0"/>
          <w:lang w:val="ru-RU"/>
        </w:rPr>
        <w:t xml:space="preserve">КПП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771501001</w:t>
      </w:r>
    </w:p>
    <w:p>
      <w:pPr>
        <w:pStyle w:val="Normal.0"/>
        <w:spacing w:after="40"/>
        <w:ind w:firstLine="360"/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«Сбербанк»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(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ПАО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),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г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.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Москва</w:t>
      </w:r>
    </w:p>
    <w:p>
      <w:pPr>
        <w:pStyle w:val="Normal.0"/>
        <w:spacing w:after="40"/>
        <w:ind w:firstLine="360"/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БИК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044525225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30101810400000000225</w:t>
      </w:r>
    </w:p>
    <w:p>
      <w:pPr>
        <w:pStyle w:val="Normal.0"/>
        <w:ind w:firstLine="360"/>
      </w:pP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р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/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с </w:t>
      </w:r>
      <w:r>
        <w:rPr>
          <w:outline w:val="0"/>
          <w:color w:val="1a1a1a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40702810338040020502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 xml:space="preserve">Генеральный директор </w:t>
      </w: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Горбунов</w:t>
      </w:r>
    </w:p>
    <w:p>
      <w:pPr>
        <w:pStyle w:val="Normal.0"/>
        <w:spacing w:after="0"/>
        <w:ind w:left="360" w:firstLine="0"/>
      </w:pPr>
    </w:p>
    <w:p>
      <w:pPr>
        <w:pStyle w:val="Normal.0"/>
        <w:spacing w:after="0"/>
        <w:ind w:left="360" w:firstLine="0"/>
      </w:pPr>
      <w:r>
        <w:rPr>
          <w:rtl w:val="0"/>
          <w:lang w:val="ru-RU"/>
        </w:rPr>
        <w:t xml:space="preserve">___________________ </w:t>
      </w:r>
    </w:p>
    <w:p>
      <w:pPr>
        <w:pStyle w:val="Normal.0"/>
        <w:spacing w:after="12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Приложение № </w:t>
      </w:r>
      <w:r>
        <w:rPr>
          <w:sz w:val="32"/>
          <w:szCs w:val="32"/>
          <w:rtl w:val="0"/>
          <w:lang w:val="ru-RU"/>
        </w:rPr>
        <w:t xml:space="preserve">1 </w:t>
      </w:r>
      <w:r>
        <w:rPr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Normal.0"/>
        <w:spacing w:after="120"/>
      </w:pP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Понятия и термины</w:t>
      </w:r>
    </w:p>
    <w:p>
      <w:pPr>
        <w:pStyle w:val="Normal.0"/>
        <w:spacing w:after="120"/>
        <w:ind w:left="360" w:firstLine="0"/>
      </w:pPr>
      <w:r>
        <w:rPr>
          <w:i w:val="1"/>
          <w:iCs w:val="1"/>
          <w:rtl w:val="0"/>
          <w:lang w:val="ru-RU"/>
        </w:rPr>
        <w:t>Курс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  <w:r>
        <w:rPr>
          <w:rtl w:val="0"/>
          <w:lang w:val="ru-RU"/>
        </w:rPr>
        <w:t>– цикл очных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дистанционных</w:t>
      </w:r>
      <w:r>
        <w:rPr>
          <w:rtl w:val="0"/>
          <w:lang w:val="ru-RU"/>
        </w:rPr>
        <w:t xml:space="preserve"> консультационных семинаров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являющихся формой оказания Исполнителем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указанных в настоящем Приложении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Предмет оферты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обязуется организовать Заказчику консультационные Услуги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Целью оказания Услуг является повышение профессионального уровня Заказчика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Консультационные Услуги осуществляются в форме дистанционных консультационных семинаров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объединённых в Курс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Наименование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сроки оказания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даты проведения Курса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место оказания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место проведения Курса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также дополнительные детали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касающиеся оказания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приводятся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Программа Курса и каждого консультационного семинара приводится в Приложении №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 xml:space="preserve">Акцепт Оферты и заключение Договора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Срок для акцепта настоящей Оферты – до истечения срока на оплату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указанного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В связи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количество участников каждого Курса ограничено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если максимальное количество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зарегистрировавшихся на Курс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достигнуто до истечения срока для акцепта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указанного в пункте </w:t>
      </w:r>
      <w:r>
        <w:rPr>
          <w:rtl w:val="0"/>
          <w:lang w:val="ru-RU"/>
        </w:rPr>
        <w:t xml:space="preserve">3.1 </w:t>
      </w:r>
      <w:r>
        <w:rPr>
          <w:rtl w:val="0"/>
          <w:lang w:val="ru-RU"/>
        </w:rPr>
        <w:t xml:space="preserve">настоящего Приложения №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регистрация на Курс будет закрыта по любым другим причинам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Оферта может быть отозвана Исполнителем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Информация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максимальное количество участников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зарегистрировавшихся на Курс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достигнуто или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регистрация на Курс закрыта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размещена Исполнителем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Оферта может быть отозвана Исполнителем в одностороннем порядке без указания причин до истечения срока для акцепта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Исполнитель указывает на Сайте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Права и обязанности Исполнителя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обязан оказать Услуги в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указанные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Исполнитель должен оказывать Услуги профессионально и в соответствии программой Курса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Приложении №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Оплата услуг и порядок оплаты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Стоимость Услуг указывается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</w:p>
    <w:p>
      <w:pPr>
        <w:pStyle w:val="List Paragraph"/>
        <w:keepNext w:val="1"/>
        <w:numPr>
          <w:ilvl w:val="1"/>
          <w:numId w:val="6"/>
        </w:numPr>
        <w:spacing w:after="120"/>
        <w:rPr>
          <w:lang w:val="ru-RU"/>
        </w:rPr>
      </w:pPr>
      <w:r>
        <w:rPr>
          <w:rtl w:val="0"/>
          <w:lang w:val="ru-RU"/>
        </w:rPr>
        <w:t>Заказчик оплачивает услуги Исполнителя на основании счёта Исполнителя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указанной в Приложении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настоящей Оферте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Стороны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счёт может быть выставлен Исполнителем в виде электронного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путем размещения счёта на Сайте</w:t>
      </w:r>
      <w:r>
        <w:rPr>
          <w:rtl w:val="0"/>
          <w:lang w:val="ru-RU"/>
        </w:rPr>
        <w:t>.</w:t>
      </w:r>
    </w:p>
    <w:p>
      <w:pPr>
        <w:pStyle w:val="List Paragraph"/>
        <w:keepNext w:val="1"/>
        <w:numPr>
          <w:ilvl w:val="0"/>
          <w:numId w:val="7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Порядок сдачи</w:t>
      </w:r>
      <w:r>
        <w:rPr>
          <w:b w:val="1"/>
          <w:bCs w:val="1"/>
          <w:caps w:val="1"/>
          <w:rtl w:val="0"/>
          <w:lang w:val="ru-RU"/>
        </w:rPr>
        <w:t>-</w:t>
      </w:r>
      <w:r>
        <w:rPr>
          <w:b w:val="1"/>
          <w:bCs w:val="1"/>
          <w:caps w:val="1"/>
          <w:rtl w:val="0"/>
          <w:lang w:val="ru-RU"/>
        </w:rPr>
        <w:t>приёмки услуг</w:t>
      </w:r>
    </w:p>
    <w:p>
      <w:pPr>
        <w:pStyle w:val="List Paragraph"/>
        <w:numPr>
          <w:ilvl w:val="1"/>
          <w:numId w:val="7"/>
        </w:numPr>
        <w:spacing w:after="120"/>
        <w:rPr>
          <w:lang w:val="ru-RU"/>
        </w:rPr>
      </w:pPr>
      <w:r>
        <w:rPr>
          <w:rtl w:val="0"/>
          <w:lang w:val="ru-RU"/>
        </w:rPr>
        <w:t>Если в течение пяти рабочих дней со дня окончания соответствующего Курса Исполнитель не направляет письменный мотивированный отказ от принятия Услуг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услуги оказаны Исполнителем в полном объёме и с надлежащим качеством и приняты Заказчиком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5"/>
        </w:numPr>
        <w:bidi w:val="0"/>
        <w:spacing w:after="12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caps w:val="1"/>
          <w:rtl w:val="0"/>
          <w:lang w:val="ru-RU"/>
        </w:rPr>
        <w:t>Срок действия Договора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Договор может быть расторгнут досрочно по письменному соглашению Сторон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позднее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дней до начала соответствующего Курса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>Заказчик вправе в одностороннем порядке отказаться от исполнения Договора при условии оплаты Исполнителю понесенных им расходов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Стороны договорились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при одностороннем отказе Заказчика от исполнения Договора менее 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tl w:val="0"/>
          <w:lang w:val="ru-RU"/>
        </w:rPr>
        <w:t xml:space="preserve">50% </w:t>
      </w:r>
      <w:r>
        <w:rPr>
          <w:rtl w:val="0"/>
          <w:lang w:val="ru-RU"/>
        </w:rPr>
        <w:t>стоимости Услуг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5"/>
        </w:numPr>
        <w:spacing w:after="120"/>
        <w:rPr>
          <w:lang w:val="ru-RU"/>
        </w:rPr>
      </w:pPr>
      <w:r>
        <w:rPr>
          <w:rtl w:val="0"/>
          <w:lang w:val="ru-RU"/>
        </w:rPr>
        <w:t xml:space="preserve">при одностороннем отказе Заказчика от исполнения Договора более чем за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 xml:space="preserve">календарных дней до начала соответствующего Курса расходы Исполнителя составят </w:t>
      </w:r>
      <w:r>
        <w:rPr>
          <w:rtl w:val="0"/>
          <w:lang w:val="ru-RU"/>
        </w:rPr>
        <w:t xml:space="preserve">10% </w:t>
      </w:r>
      <w:r>
        <w:rPr>
          <w:rtl w:val="0"/>
          <w:lang w:val="ru-RU"/>
        </w:rPr>
        <w:t>стоимости Услуг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1080" w:firstLine="0"/>
      </w:pPr>
    </w:p>
    <w:p>
      <w:pPr>
        <w:pStyle w:val="List Paragraph"/>
        <w:spacing w:after="120"/>
        <w:ind w:left="1080" w:firstLine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80" w:firstLine="0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Приложение № </w:t>
      </w:r>
      <w:r>
        <w:rPr>
          <w:sz w:val="32"/>
          <w:szCs w:val="32"/>
          <w:rtl w:val="0"/>
          <w:lang w:val="ru-RU"/>
        </w:rPr>
        <w:t xml:space="preserve">2 </w:t>
      </w:r>
      <w:r>
        <w:rPr>
          <w:sz w:val="32"/>
          <w:szCs w:val="32"/>
          <w:rtl w:val="0"/>
          <w:lang w:val="ru-RU"/>
        </w:rPr>
        <w:t>к Оферте на оказание услуг</w:t>
      </w:r>
    </w:p>
    <w:p>
      <w:pPr>
        <w:pStyle w:val="List Paragraph"/>
        <w:spacing w:after="120"/>
        <w:ind w:left="1080" w:firstLine="0"/>
      </w:pPr>
    </w:p>
    <w:p>
      <w:pPr>
        <w:pStyle w:val="heading 1"/>
        <w:shd w:val="clear" w:color="auto" w:fill="ffffff"/>
        <w:spacing w:before="0" w:after="120"/>
        <w:ind w:left="360" w:firstLine="0"/>
        <w:rPr>
          <w:rFonts w:ascii="Calibri" w:cs="Calibri" w:hAnsi="Calibri" w:eastAsia="Calibri"/>
          <w:b w:val="0"/>
          <w:bCs w:val="0"/>
          <w:kern w:val="0"/>
          <w:sz w:val="22"/>
          <w:szCs w:val="22"/>
        </w:rPr>
      </w:pPr>
      <w:r>
        <w:rPr>
          <w:rFonts w:ascii="Calibri" w:hAnsi="Calibri" w:hint="default"/>
          <w:kern w:val="0"/>
          <w:sz w:val="22"/>
          <w:szCs w:val="22"/>
          <w:rtl w:val="0"/>
          <w:lang w:val="ru-RU"/>
        </w:rPr>
        <w:t>Наименование Курса</w:t>
      </w:r>
      <w:r>
        <w:rPr>
          <w:rFonts w:ascii="Calibri" w:hAnsi="Calibri"/>
          <w:kern w:val="0"/>
          <w:sz w:val="22"/>
          <w:szCs w:val="22"/>
          <w:rtl w:val="0"/>
          <w:lang w:val="ru-RU"/>
        </w:rPr>
        <w:t>:</w:t>
      </w:r>
      <w:r>
        <w:rPr>
          <w:rFonts w:ascii="Calibri" w:hAnsi="Calibri"/>
          <w:b w:val="0"/>
          <w:bCs w:val="0"/>
          <w:kern w:val="0"/>
          <w:sz w:val="22"/>
          <w:szCs w:val="22"/>
          <w:rtl w:val="0"/>
          <w:lang w:val="ru-RU"/>
        </w:rPr>
        <w:t xml:space="preserve"> </w:t>
      </w:r>
      <w:r>
        <w:rPr>
          <w:rFonts w:ascii="Calibri" w:hAnsi="Calibri" w:hint="default"/>
          <w:b w:val="0"/>
          <w:bCs w:val="0"/>
          <w:kern w:val="0"/>
          <w:sz w:val="22"/>
          <w:szCs w:val="22"/>
          <w:shd w:val="clear" w:color="auto" w:fill="ffff00"/>
          <w:rtl w:val="0"/>
          <w:lang w:val="ru-RU"/>
        </w:rPr>
        <w:t>«Пиктограммы и системы знаков»</w:t>
      </w:r>
    </w:p>
    <w:p>
      <w:pPr>
        <w:pStyle w:val="List Paragraph"/>
        <w:spacing w:after="120"/>
        <w:ind w:left="357" w:firstLine="0"/>
        <w:rPr>
          <w:shd w:val="clear" w:color="auto" w:fill="ffff00"/>
        </w:rPr>
      </w:pPr>
      <w:r>
        <w:rPr>
          <w:b w:val="1"/>
          <w:bCs w:val="1"/>
          <w:rtl w:val="0"/>
          <w:lang w:val="ru-RU"/>
        </w:rPr>
        <w:t>Количество консультационных семинаров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hd w:val="clear" w:color="auto" w:fill="ffff00"/>
          <w:rtl w:val="0"/>
          <w:lang w:val="ru-RU"/>
        </w:rPr>
        <w:t xml:space="preserve">6 </w:t>
      </w:r>
      <w:r>
        <w:rPr>
          <w:shd w:val="clear" w:color="auto" w:fill="ffff00"/>
          <w:rtl w:val="0"/>
          <w:lang w:val="ru-RU"/>
        </w:rPr>
        <w:t>дистанционных семинаров по субботам и воскресеньям в течение трёх недель</w:t>
      </w:r>
      <w:r>
        <w:rPr>
          <w:shd w:val="clear" w:color="auto" w:fill="ffff00"/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b w:val="1"/>
          <w:bCs w:val="1"/>
          <w:rtl w:val="0"/>
          <w:lang w:val="ru-RU"/>
        </w:rPr>
        <w:t>Даты проведения Курса</w:t>
      </w:r>
      <w:r>
        <w:rPr>
          <w:rtl w:val="0"/>
          <w:lang w:val="ru-RU"/>
        </w:rPr>
        <w:t xml:space="preserve">: </w:t>
      </w:r>
      <w:r>
        <w:rPr>
          <w:shd w:val="clear" w:color="auto" w:fill="ffff00"/>
          <w:rtl w:val="0"/>
          <w:lang w:val="ru-RU"/>
        </w:rPr>
        <w:t>2</w:t>
      </w:r>
      <w:r>
        <w:rPr>
          <w:shd w:val="clear" w:color="auto" w:fill="ffff00"/>
          <w:rtl w:val="0"/>
          <w:lang w:val="ru-RU"/>
        </w:rPr>
        <w:t>1</w:t>
      </w:r>
      <w:r>
        <w:rPr>
          <w:shd w:val="clear" w:color="auto" w:fill="ffff00"/>
          <w:rtl w:val="0"/>
          <w:lang w:val="ru-RU"/>
        </w:rPr>
        <w:t xml:space="preserve"> </w:t>
      </w:r>
      <w:r>
        <w:rPr>
          <w:shd w:val="clear" w:color="auto" w:fill="ffff00"/>
          <w:rtl w:val="0"/>
          <w:lang w:val="ru-RU"/>
        </w:rPr>
        <w:t>феврал</w:t>
      </w:r>
      <w:r>
        <w:rPr>
          <w:shd w:val="clear" w:color="auto" w:fill="ffff00"/>
          <w:rtl w:val="0"/>
          <w:lang w:val="ru-RU"/>
        </w:rPr>
        <w:t>я</w:t>
      </w:r>
      <w:r>
        <w:rPr>
          <w:shd w:val="clear" w:color="auto" w:fill="ffff00"/>
          <w:rtl w:val="0"/>
          <w:lang w:val="ru-RU"/>
        </w:rPr>
        <w:t xml:space="preserve"> — </w:t>
      </w:r>
      <w:r>
        <w:rPr>
          <w:shd w:val="clear" w:color="auto" w:fill="ffff00"/>
          <w:rtl w:val="0"/>
          <w:lang w:val="ru-RU"/>
        </w:rPr>
        <w:t>13</w:t>
      </w:r>
      <w:r>
        <w:rPr>
          <w:shd w:val="clear" w:color="auto" w:fill="ffff00"/>
          <w:rtl w:val="0"/>
          <w:lang w:val="ru-RU"/>
        </w:rPr>
        <w:t> марта</w:t>
      </w:r>
      <w:r>
        <w:rPr>
          <w:outline w:val="0"/>
          <w:color w:val="000000"/>
          <w:u w:color="000000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shd w:val="clear" w:color="auto" w:fill="ffff00"/>
          <w:rtl w:val="0"/>
          <w:lang w:val="ru-RU"/>
        </w:rPr>
        <w:t>202</w:t>
      </w:r>
      <w:r>
        <w:rPr>
          <w:shd w:val="clear" w:color="auto" w:fill="ffff00"/>
          <w:rtl w:val="0"/>
          <w:lang w:val="ru-RU"/>
        </w:rPr>
        <w:t>2</w:t>
      </w:r>
      <w:r>
        <w:rPr>
          <w:shd w:val="clear" w:color="auto" w:fill="ffff00"/>
          <w:rtl w:val="0"/>
          <w:lang w:val="ru-RU"/>
        </w:rPr>
        <w:t xml:space="preserve"> года</w:t>
      </w:r>
    </w:p>
    <w:p>
      <w:pPr>
        <w:pStyle w:val="List Paragraph"/>
        <w:spacing w:after="120"/>
        <w:ind w:left="357" w:firstLine="0"/>
      </w:pPr>
      <w:r>
        <w:rPr>
          <w:b w:val="1"/>
          <w:bCs w:val="1"/>
          <w:rtl w:val="0"/>
          <w:lang w:val="ru-RU"/>
        </w:rPr>
        <w:t>Стоимость Услуг</w:t>
      </w:r>
      <w:r>
        <w:rPr>
          <w:rtl w:val="0"/>
          <w:lang w:val="ru-RU"/>
        </w:rPr>
        <w:t xml:space="preserve">: </w:t>
      </w:r>
      <w:r>
        <w:rPr>
          <w:shd w:val="clear" w:color="auto" w:fill="ffff00"/>
          <w:rtl w:val="0"/>
          <w:lang w:val="ru-RU"/>
        </w:rPr>
        <w:t>39</w:t>
      </w:r>
      <w:r>
        <w:rPr>
          <w:shd w:val="clear" w:color="auto" w:fill="ffff00"/>
          <w:rtl w:val="0"/>
          <w:lang w:val="ru-RU"/>
        </w:rPr>
        <w:t> </w:t>
      </w:r>
      <w:r>
        <w:rPr>
          <w:shd w:val="clear" w:color="auto" w:fill="ffff00"/>
          <w:rtl w:val="0"/>
          <w:lang w:val="ru-RU"/>
        </w:rPr>
        <w:t xml:space="preserve">000 </w:t>
      </w:r>
      <w:r>
        <w:rPr>
          <w:shd w:val="clear" w:color="auto" w:fill="ffff00"/>
          <w:rtl w:val="0"/>
          <w:lang w:val="ru-RU"/>
        </w:rPr>
        <w:t>рублей</w:t>
      </w:r>
      <w:r>
        <w:rPr>
          <w:rtl w:val="0"/>
          <w:lang w:val="ru-RU"/>
        </w:rPr>
        <w:t xml:space="preserve"> за одного участника</w:t>
      </w:r>
      <w:r>
        <w:rPr>
          <w:rtl w:val="0"/>
          <w:lang w:val="ru-RU"/>
        </w:rPr>
        <w:t>;</w:t>
      </w:r>
    </w:p>
    <w:p>
      <w:pPr>
        <w:pStyle w:val="List Paragraph"/>
        <w:spacing w:after="120"/>
        <w:ind w:left="357" w:firstLine="0"/>
      </w:pPr>
      <w:r>
        <w:rPr>
          <w:rtl w:val="0"/>
          <w:lang w:val="ru-RU"/>
        </w:rPr>
        <w:t>В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участник является студентом дневного или вечернего отделения вуза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стоимость Услуг составляет </w:t>
      </w:r>
      <w:r>
        <w:rPr>
          <w:shd w:val="clear" w:color="auto" w:fill="ffff00"/>
          <w:rtl w:val="0"/>
          <w:lang w:val="ru-RU"/>
        </w:rPr>
        <w:t xml:space="preserve">19 500 </w:t>
      </w:r>
      <w:r>
        <w:rPr>
          <w:shd w:val="clear" w:color="auto" w:fill="ffff00"/>
          <w:rtl w:val="0"/>
          <w:lang w:val="ru-RU"/>
        </w:rPr>
        <w:t>рублей</w:t>
      </w:r>
      <w:r>
        <w:rPr>
          <w:rtl w:val="0"/>
          <w:lang w:val="ru-RU"/>
        </w:rPr>
        <w:t xml:space="preserve"> за одного участника</w:t>
      </w:r>
      <w:r>
        <w:rPr>
          <w:rtl w:val="0"/>
          <w:lang w:val="ru-RU"/>
        </w:rPr>
        <w:t xml:space="preserve">. </w:t>
      </w:r>
    </w:p>
    <w:p>
      <w:pPr>
        <w:pStyle w:val="List Paragraph"/>
        <w:spacing w:after="120"/>
        <w:ind w:left="357" w:firstLine="0"/>
      </w:pPr>
      <w:r>
        <w:rPr>
          <w:rtl w:val="0"/>
          <w:lang w:val="ru-RU"/>
        </w:rPr>
        <w:t>Заказчик обязуется предоставить Исполнителю следующую информацию об участнике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название вуза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обучается участник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телефон деканата и контактное лицо для подтверждения информации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участник является студентом этого вуза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357" w:firstLine="0"/>
      </w:pPr>
      <w:r>
        <w:rPr>
          <w:b w:val="1"/>
          <w:bCs w:val="1"/>
          <w:rtl w:val="0"/>
          <w:lang w:val="ru-RU"/>
        </w:rPr>
        <w:t>Срок оплаты Услуг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оплата Услуг должна быть произведена в течение пяти рабочих дней с даты выставления счёта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не позднее</w:t>
      </w:r>
      <w:r>
        <w:rPr>
          <w:shd w:val="clear" w:color="auto" w:fill="ffff00"/>
          <w:rtl w:val="0"/>
          <w:lang w:val="ru-RU"/>
        </w:rPr>
        <w:t xml:space="preserve"> 1</w:t>
      </w:r>
      <w:r>
        <w:rPr>
          <w:shd w:val="clear" w:color="auto" w:fill="ffff00"/>
          <w:rtl w:val="0"/>
          <w:lang w:val="ru-RU"/>
        </w:rPr>
        <w:t xml:space="preserve">6 </w:t>
      </w:r>
      <w:r>
        <w:rPr>
          <w:shd w:val="clear" w:color="auto" w:fill="ffff00"/>
          <w:rtl w:val="0"/>
          <w:lang w:val="ru-RU"/>
        </w:rPr>
        <w:t>феврал</w:t>
      </w:r>
      <w:r>
        <w:rPr>
          <w:shd w:val="clear" w:color="auto" w:fill="ffff00"/>
          <w:rtl w:val="0"/>
          <w:lang w:val="ru-RU"/>
        </w:rPr>
        <w:t xml:space="preserve">я </w:t>
      </w:r>
      <w:r>
        <w:rPr>
          <w:shd w:val="clear" w:color="auto" w:fill="ffff00"/>
          <w:rtl w:val="0"/>
          <w:lang w:val="ru-RU"/>
        </w:rPr>
        <w:t>202</w:t>
      </w:r>
      <w:r>
        <w:rPr>
          <w:shd w:val="clear" w:color="auto" w:fill="ffff00"/>
          <w:rtl w:val="0"/>
          <w:lang w:val="ru-RU"/>
        </w:rPr>
        <w:t>2</w:t>
      </w:r>
      <w:r>
        <w:rPr>
          <w:shd w:val="clear" w:color="auto" w:fill="ffff00"/>
          <w:rtl w:val="0"/>
          <w:lang w:val="ru-RU"/>
        </w:rPr>
        <w:t xml:space="preserve"> года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задержки оплаты Исполнитель не сохраняет место в группе участников Курса за Заказчиком</w:t>
      </w:r>
      <w:r>
        <w:rPr>
          <w:rtl w:val="0"/>
          <w:lang w:val="ru-RU"/>
        </w:rPr>
        <w:t>.</w:t>
      </w:r>
    </w:p>
    <w:p>
      <w:pPr>
        <w:pStyle w:val="List Paragraph"/>
        <w:spacing w:after="120"/>
        <w:ind w:left="360" w:firstLine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Оплата Услуг может производиться следующими способами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spacing w:after="120"/>
        <w:ind w:left="709" w:firstLine="0"/>
      </w:pPr>
      <w:r>
        <w:rPr>
          <w:rtl w:val="0"/>
          <w:lang w:val="ru-RU"/>
        </w:rPr>
        <w:t>через сервис приёма платежей партнёрской платёжной системы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на Сайте</w:t>
      </w:r>
      <w:r>
        <w:rPr>
          <w:rtl w:val="0"/>
          <w:lang w:val="ru-RU"/>
        </w:rPr>
        <w:t>;</w:t>
      </w:r>
    </w:p>
    <w:p>
      <w:pPr>
        <w:pStyle w:val="Normal.0"/>
        <w:spacing w:after="120"/>
        <w:ind w:left="709" w:firstLine="0"/>
      </w:pPr>
      <w:r>
        <w:rPr>
          <w:rtl w:val="0"/>
          <w:lang w:val="ru-RU"/>
        </w:rPr>
        <w:t>наличным платежом через Сбербанк по квитанции на основании бланка платёжного документа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форма которого расположена на Сайте</w:t>
      </w:r>
      <w:r>
        <w:rPr>
          <w:rtl w:val="0"/>
          <w:lang w:val="ru-RU"/>
        </w:rPr>
        <w:t>;</w:t>
      </w:r>
    </w:p>
    <w:p>
      <w:pPr>
        <w:pStyle w:val="List Paragraph"/>
        <w:spacing w:after="120"/>
      </w:pPr>
      <w:r>
        <w:rPr>
          <w:rtl w:val="0"/>
          <w:lang w:val="ru-RU"/>
        </w:rPr>
        <w:t>безналичным платежом путем перечисления денежных средств на расчётный счёт Исполнителя</w:t>
      </w:r>
      <w:r>
        <w:rPr>
          <w:rtl w:val="0"/>
          <w:lang w:val="ru-RU"/>
        </w:rPr>
        <w:t>.</w:t>
      </w:r>
    </w:p>
    <w:p>
      <w:pPr>
        <w:pStyle w:val="Normal.0"/>
        <w:spacing w:after="12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after="120"/>
        <w:ind w:left="1077" w:firstLine="0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 </w:t>
      </w:r>
      <w:r>
        <w:rPr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Оферте на оказание услуг</w:t>
      </w:r>
    </w:p>
    <w:p>
      <w:pPr>
        <w:pStyle w:val="Normal.0"/>
        <w:spacing w:after="12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Программа курса «Пиктограммы и системы знаков»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2"/>
        <w:gridCol w:w="4672"/>
      </w:tblGrid>
      <w:tr>
        <w:tblPrEx>
          <w:shd w:val="clear" w:color="auto" w:fill="ced7e7"/>
        </w:tblPrEx>
        <w:trPr>
          <w:trHeight w:val="10025" w:hRule="atLeast"/>
        </w:trPr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Первая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функции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Где мы сталкиваемся с пиктограммами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История знаков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Пиктограммы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петроглифы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иероглифы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буквы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Функции иконок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Зачем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что и как рисовать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Дорожные знаки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Знаки безопасности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Транспортные пиктограммы и навигация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в интерфейсах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на сайтах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Иконки для развлечения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Информационная ёмкость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Вспомогательная графика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Как правильно зачёркивать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Как ампутировать конечности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Графдизайнерская гигиена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Красота и функция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Выбор стиля исходя из функции</w:t>
            </w:r>
          </w:p>
          <w:p>
            <w:pPr>
              <w:pStyle w:val="Normal.0"/>
              <w:spacing w:after="0"/>
              <w:rPr>
                <w:i w:val="1"/>
                <w:iCs w:val="1"/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Вторая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дизайн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Графический язык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Правила гештальта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Существительные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прилагательные и глаголы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Поиск идеи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Метафоры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Упаковка смысла и проверка распаковкой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Узнаваемость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Ракурс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Психология восприятия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Анатомия пиктограммы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Энергия и движение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Матрица эмоций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Культурный код и паразитные образы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Клише пиктографиста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Загнутый уголок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лучики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стопка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Минимизация конструкции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Читаемость и визуальный шум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. 1+1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≥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3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Убрать всё лишнее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отрезать половину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вынести за скобку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перенести функцию</w:t>
            </w: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after="0"/>
            </w:pPr>
            <w:r>
              <w:rPr>
                <w:shd w:val="nil" w:color="auto" w:fill="auto"/>
                <w:lang w:val="ru-RU"/>
              </w:rPr>
            </w:r>
          </w:p>
        </w:tc>
        <w:tc>
          <w:tcPr>
            <w:tcW w:type="dxa" w:w="4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Стили пиктограмм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Форма и контроформа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Напряжение кривых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Скругления углов и суперэллипсы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Графическая рифма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Попадание в пиксели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Микроанимация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Цвет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Контраст и яркость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Смысловые цвета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Мемори‑колорс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Принципы сочетания цвета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Поиск анатомических особенностей объектов</w:t>
            </w:r>
          </w:p>
          <w:p>
            <w:pPr>
              <w:pStyle w:val="Normal.0"/>
              <w:spacing w:after="0"/>
              <w:rPr>
                <w:sz w:val="19"/>
                <w:szCs w:val="19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Третья неделя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ru-RU"/>
              </w:rPr>
              <w:t>системы знаков</w:t>
            </w:r>
            <w:r>
              <w:rPr>
                <w:sz w:val="22"/>
                <w:szCs w:val="22"/>
                <w:shd w:val="nil" w:color="auto" w:fill="auto"/>
                <w:lang w:val="ru-RU"/>
              </w:rPr>
              <w:br w:type="textWrapping"/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Искусственный язык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Ловушка систематизатора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Контекст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ДНК системы знаков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Визуальный вес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Шрифт и графика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Способы стилизации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Характер инструмента и исполнения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Стандартные толщины линий и контрпространств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Модульная сетка и углы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Общие элементы с буквами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Характерные графические фишки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ru-RU"/>
              </w:rPr>
              <w:t>Шкала няшности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19"/>
                <w:szCs w:val="19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19"/>
                <w:szCs w:val="19"/>
                <w:shd w:val="nil" w:color="auto" w:fill="auto"/>
                <w:rtl w:val="0"/>
                <w:lang w:val="ru-RU"/>
              </w:rPr>
              <w:t>Палитра для цветных иконок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  <w:rtl w:val="0"/>
                <w:lang w:val="ru-RU"/>
              </w:rPr>
              <w:t>Пиктограммы для собственного проекта</w:t>
            </w:r>
            <w:r>
              <w:rPr>
                <w:i w:val="1"/>
                <w:iCs w:val="1"/>
                <w:sz w:val="19"/>
                <w:szCs w:val="19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120" w:line="240" w:lineRule="auto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16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2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94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54" w:hanging="1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214" w:hanging="1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74" w:hanging="2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Calibri" w:cs="Calibri" w:hAnsi="Calibri" w:eastAsia="Calibri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